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6B" w:rsidRPr="0026476E" w:rsidRDefault="00A5296B" w:rsidP="00A5296B">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bookmarkStart w:id="0" w:name="_GoBack"/>
      <w:bookmarkEnd w:id="0"/>
      <w:r w:rsidRPr="0026476E">
        <w:rPr>
          <w:rFonts w:asciiTheme="minorHAnsi" w:hAnsiTheme="minorHAnsi"/>
          <w:b/>
          <w:color w:val="000000"/>
          <w:sz w:val="22"/>
          <w:szCs w:val="22"/>
        </w:rPr>
        <w:t>EDUCATION CODE</w:t>
      </w:r>
    </w:p>
    <w:p w:rsidR="00A5296B" w:rsidRPr="0026476E" w:rsidRDefault="00A5296B" w:rsidP="00A5296B">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TITLE 2. PUBLIC EDUCATION</w:t>
      </w:r>
    </w:p>
    <w:p w:rsidR="00A5296B" w:rsidRPr="0026476E" w:rsidRDefault="00A5296B" w:rsidP="00A5296B">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b/>
          <w:color w:val="000000"/>
          <w:sz w:val="22"/>
          <w:szCs w:val="22"/>
        </w:rPr>
      </w:pPr>
      <w:r w:rsidRPr="0026476E">
        <w:rPr>
          <w:rFonts w:asciiTheme="minorHAnsi" w:hAnsiTheme="minorHAnsi"/>
          <w:b/>
          <w:color w:val="000000"/>
          <w:sz w:val="22"/>
          <w:szCs w:val="22"/>
        </w:rPr>
        <w:t>SUBTITLE F. CURRICULUM, PROGRAMS, AND SERVICES</w:t>
      </w:r>
    </w:p>
    <w:p w:rsidR="00A5296B" w:rsidRPr="0026476E" w:rsidRDefault="00A5296B" w:rsidP="00A5296B">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CHAPTER 28. COURSES OF STUDY;  ADVANCEMENT</w:t>
      </w:r>
    </w:p>
    <w:p w:rsidR="00A5296B" w:rsidRPr="0026476E" w:rsidRDefault="00A5296B" w:rsidP="00A5296B">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SUBCHAPTER A. ESSENTIAL KNOWLEDGE AND SKILLS;  CURRICULUM</w:t>
      </w:r>
    </w:p>
    <w:p w:rsidR="00A5296B" w:rsidRPr="0026476E" w:rsidRDefault="00A5296B" w:rsidP="0022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rPr>
      </w:pP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r w:rsidRPr="002263AC">
        <w:rPr>
          <w:rFonts w:eastAsia="Times New Roman" w:cs="Courier New"/>
          <w:b/>
          <w:color w:val="000000"/>
        </w:rPr>
        <w:t>Sec. 28.014.  COLLEGE PREPARATORY COURSES.</w:t>
      </w:r>
      <w:r w:rsidRPr="002263AC">
        <w:rPr>
          <w:rFonts w:eastAsia="Times New Roman" w:cs="Courier New"/>
          <w:color w:val="000000"/>
        </w:rPr>
        <w:t xml:space="preserve">  (a)  Each school district shall partner with at least one institution of higher education to develop and provide courses in college preparatory mathematics and English language arts.  The courses must be designed:</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080"/>
        <w:rPr>
          <w:rFonts w:eastAsia="Times New Roman" w:cs="Courier New"/>
          <w:color w:val="000000"/>
        </w:rPr>
      </w:pPr>
      <w:r w:rsidRPr="002263AC">
        <w:rPr>
          <w:rFonts w:eastAsia="Times New Roman" w:cs="Courier New"/>
          <w:color w:val="000000"/>
        </w:rPr>
        <w:t>(1)  for students at the 12th grade level whose performance on:</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440"/>
        <w:rPr>
          <w:rFonts w:eastAsia="Times New Roman" w:cs="Courier New"/>
          <w:color w:val="000000"/>
        </w:rPr>
      </w:pPr>
      <w:r w:rsidRPr="002263AC">
        <w:rPr>
          <w:rFonts w:eastAsia="Times New Roman" w:cs="Courier New"/>
          <w:color w:val="000000"/>
        </w:rPr>
        <w:t>(A)  an end-of-course assessment instrument required under Section 39.023(c) does not meet college readiness standards; or</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440"/>
        <w:rPr>
          <w:rFonts w:eastAsia="Times New Roman" w:cs="Courier New"/>
          <w:color w:val="000000"/>
        </w:rPr>
      </w:pPr>
      <w:r w:rsidRPr="002263AC">
        <w:rPr>
          <w:rFonts w:eastAsia="Times New Roman" w:cs="Courier New"/>
          <w:color w:val="000000"/>
        </w:rPr>
        <w:t>(B)  coursework, a college entrance examination, or an assessment instrument designated under Section 51.3062(c) indicates that the student is not ready to perform entry-level college coursework; and</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080"/>
        <w:rPr>
          <w:rFonts w:eastAsia="Times New Roman" w:cs="Courier New"/>
          <w:color w:val="000000"/>
        </w:rPr>
      </w:pPr>
      <w:r w:rsidRPr="002263AC">
        <w:rPr>
          <w:rFonts w:eastAsia="Times New Roman" w:cs="Courier New"/>
          <w:color w:val="000000"/>
        </w:rPr>
        <w:t>(2)  to prepare students for success in entry-level college courses.</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(b)  A course developed under this section must be provided:</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080"/>
        <w:rPr>
          <w:rFonts w:eastAsia="Times New Roman" w:cs="Courier New"/>
          <w:color w:val="000000"/>
        </w:rPr>
      </w:pPr>
      <w:r w:rsidRPr="002263AC">
        <w:rPr>
          <w:rFonts w:eastAsia="Times New Roman" w:cs="Courier New"/>
          <w:color w:val="000000"/>
        </w:rPr>
        <w:t>(1)  on the campus of the high school offering the course; or</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080"/>
        <w:rPr>
          <w:rFonts w:eastAsia="Times New Roman" w:cs="Courier New"/>
          <w:color w:val="000000"/>
        </w:rPr>
      </w:pPr>
      <w:r w:rsidRPr="002263AC">
        <w:rPr>
          <w:rFonts w:eastAsia="Times New Roman" w:cs="Courier New"/>
          <w:color w:val="000000"/>
        </w:rPr>
        <w:t>(2)  through distance learning or as an online course provided through an institution of higher education with which the school district partners as provided by Subsection (a).</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(c)  Appropriate faculty of each high school offering courses under this section and appropriate faculty of each institution of higher education with which the school district partners shall meet regularly as necessary to ensure that each course is aligned with college readiness expectations.  The commissioner of education, in coordination with the commissioner of higher education, may adopt rules to administer this subsection.</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(d)  Each school district shall provide a notice to each district student to whom Subsection (a) applies and the student's parent or guardian regarding the benefits of enrolling in a course under this section.</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(e)  A student who successfully completes an English language arts course developed under this section may use the credit earned in the course toward satisfying the advanced English language arts curriculum requirement for the foundation high school program under Section 28.025(b-1)(1).  A student who successfully completes a mathematics course developed under this section may use the credit earned in the course toward satisfying an advanced mathematics curriculum requirement under Section 28.025 after completion of the mathematics curriculum requirements for the foundation high school program under Section 28.025(b-1)(2).</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(f)  A course provided under this section may be offered for dual credit at the discretion of the institution of higher education with which a school district partners under this section.</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(g)  Each school district, in consultation with each institution of higher education with which the district partners, shall develop or purchase instructional materials for a course developed under this section consistent with Chapter 31.  The instructional materials must include technology resources that enhance the effectiveness of the course and draw on established best practices.</w:t>
      </w:r>
    </w:p>
    <w:p w:rsidR="002263AC" w:rsidRPr="002263AC" w:rsidRDefault="002263AC" w:rsidP="009F7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360"/>
        <w:rPr>
          <w:rFonts w:eastAsia="Times New Roman" w:cs="Courier New"/>
          <w:color w:val="000000"/>
        </w:rPr>
      </w:pPr>
      <w:r w:rsidRPr="002263AC">
        <w:rPr>
          <w:rFonts w:eastAsia="Times New Roman" w:cs="Courier New"/>
          <w:color w:val="000000"/>
        </w:rPr>
        <w:t>(h)  To the extent applicable, a district shall draw from curricula and instructional materials developed under Section 28.008 in developing a course and related instructional m</w:t>
      </w:r>
      <w:r w:rsidR="00ED773A" w:rsidRPr="0026476E">
        <w:rPr>
          <w:rFonts w:eastAsia="Times New Roman" w:cs="Courier New"/>
          <w:color w:val="000000"/>
        </w:rPr>
        <w:t xml:space="preserve">aterials under this section. A </w:t>
      </w:r>
      <w:r w:rsidRPr="002263AC">
        <w:rPr>
          <w:rFonts w:eastAsia="Times New Roman" w:cs="Courier New"/>
          <w:color w:val="000000"/>
        </w:rPr>
        <w:t xml:space="preserve">course </w:t>
      </w:r>
      <w:r w:rsidRPr="002263AC">
        <w:rPr>
          <w:rFonts w:eastAsia="Times New Roman" w:cs="Courier New"/>
          <w:color w:val="000000"/>
        </w:rPr>
        <w:lastRenderedPageBreak/>
        <w:t>developed under this section and the related instructional materials shall be made available to students not later than the 2014-2015 school year.   This subsection expires September 1, 2015.</w:t>
      </w:r>
    </w:p>
    <w:p w:rsidR="002263AC" w:rsidRPr="002263AC" w:rsidRDefault="002263AC" w:rsidP="0022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rPr>
      </w:pPr>
    </w:p>
    <w:p w:rsidR="002263AC" w:rsidRPr="002263AC" w:rsidRDefault="0026476E" w:rsidP="005F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18"/>
          <w:szCs w:val="18"/>
        </w:rPr>
      </w:pPr>
      <w:r>
        <w:rPr>
          <w:rFonts w:eastAsia="Times New Roman" w:cs="Courier New"/>
          <w:color w:val="000000"/>
          <w:sz w:val="18"/>
          <w:szCs w:val="18"/>
        </w:rPr>
        <w:tab/>
      </w:r>
      <w:r w:rsidR="002263AC" w:rsidRPr="002263AC">
        <w:rPr>
          <w:rFonts w:eastAsia="Times New Roman" w:cs="Courier New"/>
          <w:color w:val="000000"/>
          <w:sz w:val="18"/>
          <w:szCs w:val="18"/>
        </w:rPr>
        <w:t xml:space="preserve">Added by Acts 2007, 80th Leg., R.S., Ch. 1058 (H.B. </w:t>
      </w:r>
      <w:hyperlink r:id="rId8" w:tgtFrame="new" w:history="1">
        <w:r w:rsidR="002263AC" w:rsidRPr="0026476E">
          <w:rPr>
            <w:rFonts w:eastAsia="Times New Roman" w:cs="Courier New"/>
            <w:color w:val="0000FF"/>
            <w:sz w:val="18"/>
            <w:szCs w:val="18"/>
          </w:rPr>
          <w:t>2237</w:t>
        </w:r>
      </w:hyperlink>
      <w:r w:rsidR="002263AC" w:rsidRPr="002263AC">
        <w:rPr>
          <w:rFonts w:eastAsia="Times New Roman" w:cs="Courier New"/>
          <w:color w:val="000000"/>
          <w:sz w:val="18"/>
          <w:szCs w:val="18"/>
        </w:rPr>
        <w:t>), Sec. 8(a), eff. June 15, 2007.</w:t>
      </w:r>
    </w:p>
    <w:p w:rsidR="002263AC" w:rsidRPr="002263AC" w:rsidRDefault="0026476E" w:rsidP="001C1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18"/>
          <w:szCs w:val="18"/>
        </w:rPr>
      </w:pPr>
      <w:r>
        <w:rPr>
          <w:rFonts w:eastAsia="Times New Roman" w:cs="Courier New"/>
          <w:color w:val="000000"/>
          <w:sz w:val="18"/>
          <w:szCs w:val="18"/>
        </w:rPr>
        <w:tab/>
      </w:r>
      <w:r w:rsidR="002263AC" w:rsidRPr="002263AC">
        <w:rPr>
          <w:rFonts w:eastAsia="Times New Roman" w:cs="Courier New"/>
          <w:color w:val="000000"/>
          <w:sz w:val="18"/>
          <w:szCs w:val="18"/>
        </w:rPr>
        <w:t xml:space="preserve">Amended by: Acts 2009, 81st Leg., R.S., Ch. 895 (H.B. </w:t>
      </w:r>
      <w:hyperlink r:id="rId9" w:tgtFrame="new" w:history="1">
        <w:r w:rsidR="002263AC" w:rsidRPr="0026476E">
          <w:rPr>
            <w:rFonts w:eastAsia="Times New Roman" w:cs="Courier New"/>
            <w:color w:val="0000FF"/>
            <w:sz w:val="18"/>
            <w:szCs w:val="18"/>
          </w:rPr>
          <w:t>3</w:t>
        </w:r>
      </w:hyperlink>
      <w:r w:rsidR="002263AC" w:rsidRPr="002263AC">
        <w:rPr>
          <w:rFonts w:eastAsia="Times New Roman" w:cs="Courier New"/>
          <w:color w:val="000000"/>
          <w:sz w:val="18"/>
          <w:szCs w:val="18"/>
        </w:rPr>
        <w:t>), Sec. 27, eff. June 19, 2009.</w:t>
      </w:r>
    </w:p>
    <w:p w:rsidR="00AC3A84" w:rsidRPr="0026476E" w:rsidRDefault="001C1797" w:rsidP="005F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rPr>
          <w:rFonts w:eastAsia="Times New Roman" w:cs="Courier New"/>
          <w:color w:val="000000"/>
          <w:sz w:val="18"/>
          <w:szCs w:val="18"/>
        </w:rPr>
      </w:pPr>
      <w:r w:rsidRPr="0026476E">
        <w:rPr>
          <w:rFonts w:eastAsia="Times New Roman" w:cs="Courier New"/>
          <w:color w:val="000000"/>
          <w:sz w:val="18"/>
          <w:szCs w:val="18"/>
        </w:rPr>
        <w:tab/>
        <w:t xml:space="preserve">     </w:t>
      </w:r>
      <w:r w:rsidR="0026476E">
        <w:rPr>
          <w:rFonts w:eastAsia="Times New Roman" w:cs="Courier New"/>
          <w:color w:val="000000"/>
          <w:sz w:val="18"/>
          <w:szCs w:val="18"/>
        </w:rPr>
        <w:tab/>
        <w:t xml:space="preserve">  </w:t>
      </w:r>
      <w:r w:rsidR="002263AC" w:rsidRPr="002263AC">
        <w:rPr>
          <w:rFonts w:eastAsia="Times New Roman" w:cs="Courier New"/>
          <w:color w:val="000000"/>
          <w:sz w:val="18"/>
          <w:szCs w:val="18"/>
        </w:rPr>
        <w:t xml:space="preserve">Acts 2013, 83rd Leg., R.S., Ch. 211 (H.B. </w:t>
      </w:r>
      <w:hyperlink r:id="rId10" w:tgtFrame="new" w:history="1">
        <w:r w:rsidR="002263AC" w:rsidRPr="0026476E">
          <w:rPr>
            <w:rFonts w:eastAsia="Times New Roman" w:cs="Courier New"/>
            <w:color w:val="0000FF"/>
            <w:sz w:val="18"/>
            <w:szCs w:val="18"/>
          </w:rPr>
          <w:t>5</w:t>
        </w:r>
      </w:hyperlink>
      <w:r w:rsidR="002263AC" w:rsidRPr="002263AC">
        <w:rPr>
          <w:rFonts w:eastAsia="Times New Roman" w:cs="Courier New"/>
          <w:color w:val="000000"/>
          <w:sz w:val="18"/>
          <w:szCs w:val="18"/>
        </w:rPr>
        <w:t>), Sec. 10(a), eff. June 10, 2013.</w:t>
      </w:r>
    </w:p>
    <w:p w:rsidR="005F017B" w:rsidRPr="0026476E" w:rsidRDefault="005F017B" w:rsidP="005F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40"/>
        <w:rPr>
          <w:rFonts w:eastAsia="Times New Roman" w:cs="Courier New"/>
          <w:color w:val="000000"/>
        </w:rPr>
      </w:pPr>
    </w:p>
    <w:p w:rsidR="00ED773A" w:rsidRPr="0026476E" w:rsidRDefault="009F7290">
      <w:pPr>
        <w:rPr>
          <w:b/>
          <w:i/>
        </w:rPr>
      </w:pPr>
      <w:r w:rsidRPr="0026476E">
        <w:rPr>
          <w:b/>
          <w:i/>
        </w:rPr>
        <w:t>Note:</w:t>
      </w:r>
    </w:p>
    <w:p w:rsidR="00ED773A" w:rsidRPr="0026476E" w:rsidRDefault="00ED773A" w:rsidP="00ED773A">
      <w:pPr>
        <w:spacing w:after="0" w:line="240" w:lineRule="auto"/>
        <w:rPr>
          <w:b/>
          <w:i/>
        </w:rPr>
      </w:pPr>
      <w:r w:rsidRPr="0026476E">
        <w:rPr>
          <w:b/>
          <w:i/>
        </w:rPr>
        <w:t>The following PEIMS course service identification numbers may ONLY be used for a college preparatory course developed and provided by a district in partnership with at least one institution of higher education.  Pursuant to TEC §28.014, these courses must be designed for students at the 12th grade level whose performance on an EOC assessment instrument does not meet college readiness standards or whose performance on coursework, a college entrance examination, or an assessment instrument designated under Section 51.3062(c) indicates that the student is not ready to perform entry-level college coursework.</w:t>
      </w:r>
    </w:p>
    <w:p w:rsidR="00ED773A" w:rsidRPr="0026476E" w:rsidRDefault="00ED773A" w:rsidP="00ED773A">
      <w:pPr>
        <w:pStyle w:val="ListParagraph"/>
        <w:numPr>
          <w:ilvl w:val="0"/>
          <w:numId w:val="1"/>
        </w:numPr>
        <w:spacing w:after="0" w:line="240" w:lineRule="auto"/>
        <w:rPr>
          <w:b/>
          <w:i/>
        </w:rPr>
      </w:pPr>
      <w:r w:rsidRPr="0026476E">
        <w:rPr>
          <w:b/>
          <w:i/>
        </w:rPr>
        <w:t>CP110100</w:t>
      </w:r>
      <w:r w:rsidRPr="0026476E">
        <w:rPr>
          <w:b/>
          <w:i/>
        </w:rPr>
        <w:tab/>
        <w:t>College Preparatory Course English Language Arts</w:t>
      </w:r>
    </w:p>
    <w:p w:rsidR="00ED773A" w:rsidRPr="00B4205D" w:rsidRDefault="00ED773A" w:rsidP="00ED773A">
      <w:pPr>
        <w:pStyle w:val="ListParagraph"/>
        <w:numPr>
          <w:ilvl w:val="0"/>
          <w:numId w:val="1"/>
        </w:numPr>
        <w:spacing w:after="0" w:line="240" w:lineRule="auto"/>
        <w:rPr>
          <w:i/>
        </w:rPr>
      </w:pPr>
      <w:r w:rsidRPr="0026476E">
        <w:rPr>
          <w:b/>
          <w:i/>
        </w:rPr>
        <w:t>CP111200</w:t>
      </w:r>
      <w:r w:rsidRPr="0026476E">
        <w:rPr>
          <w:b/>
          <w:i/>
        </w:rPr>
        <w:tab/>
        <w:t>College Preparatory Course Mathematics</w:t>
      </w:r>
    </w:p>
    <w:p w:rsidR="00B4205D" w:rsidRPr="0026476E" w:rsidRDefault="00B4205D" w:rsidP="00B4205D">
      <w:pPr>
        <w:pStyle w:val="ListParagraph"/>
        <w:spacing w:after="0" w:line="240" w:lineRule="auto"/>
        <w:rPr>
          <w:i/>
        </w:rPr>
      </w:pPr>
    </w:p>
    <w:p w:rsidR="006A0058" w:rsidRPr="0026476E" w:rsidRDefault="006A0058" w:rsidP="006A0058">
      <w:pPr>
        <w:pStyle w:val="ListParagraph"/>
        <w:spacing w:after="0" w:line="240" w:lineRule="auto"/>
        <w:rPr>
          <w:i/>
        </w:rPr>
      </w:pPr>
    </w:p>
    <w:p w:rsidR="005F017B" w:rsidRPr="00BB200B" w:rsidRDefault="006A0058">
      <w:pPr>
        <w:rPr>
          <w:sz w:val="28"/>
          <w:szCs w:val="28"/>
        </w:rPr>
      </w:pPr>
      <w:r w:rsidRPr="00BB200B">
        <w:rPr>
          <w:sz w:val="28"/>
          <w:szCs w:val="28"/>
        </w:rPr>
        <w:t>~~~~~~~~~~~~~~~~~~~~~~~~~~~~~~~~~~~~~~~~~~~~~~~~~~~~~~~~~~~~~~~~~~~~~~~~</w:t>
      </w:r>
    </w:p>
    <w:p w:rsidR="00B4205D" w:rsidRDefault="00B4205D" w:rsidP="00057947">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p>
    <w:p w:rsidR="00057947" w:rsidRPr="0026476E" w:rsidRDefault="00057947" w:rsidP="00057947">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EDUCATION CODE</w:t>
      </w:r>
    </w:p>
    <w:p w:rsidR="00057947" w:rsidRPr="0026476E" w:rsidRDefault="00057947" w:rsidP="00057947">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TITLE 3. HIGHER EDUCATION</w:t>
      </w:r>
    </w:p>
    <w:p w:rsidR="00057947" w:rsidRPr="0026476E" w:rsidRDefault="00057947" w:rsidP="00057947">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SUBTITLE A. HIGHER EDUCATION IN GENERAL</w:t>
      </w:r>
    </w:p>
    <w:p w:rsidR="00057947" w:rsidRPr="0026476E" w:rsidRDefault="00057947" w:rsidP="00057947">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r w:rsidRPr="0026476E">
        <w:rPr>
          <w:rFonts w:asciiTheme="minorHAnsi" w:hAnsiTheme="minorHAnsi"/>
          <w:b/>
          <w:color w:val="000000"/>
          <w:sz w:val="22"/>
          <w:szCs w:val="22"/>
        </w:rPr>
        <w:t>CHAPTER 51. PROVISIONS GENERALLY APPLICABLE TO HIGHER EDUCATION</w:t>
      </w:r>
    </w:p>
    <w:p w:rsidR="00057947" w:rsidRPr="0026476E" w:rsidRDefault="00057947" w:rsidP="00057947">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000000"/>
          <w:sz w:val="22"/>
          <w:szCs w:val="22"/>
        </w:rPr>
      </w:pPr>
      <w:bookmarkStart w:id="1" w:name="A"/>
      <w:bookmarkStart w:id="2" w:name="9569.8236"/>
      <w:bookmarkEnd w:id="1"/>
      <w:bookmarkEnd w:id="2"/>
      <w:r w:rsidRPr="0026476E">
        <w:rPr>
          <w:rFonts w:asciiTheme="minorHAnsi" w:hAnsiTheme="minorHAnsi"/>
          <w:b/>
          <w:color w:val="000000"/>
          <w:sz w:val="22"/>
          <w:szCs w:val="22"/>
        </w:rPr>
        <w:t>SUBCHAPTER A. CONTROL OF FUNDS</w:t>
      </w:r>
    </w:p>
    <w:p w:rsidR="001C1797" w:rsidRPr="0026476E" w:rsidRDefault="001C1797">
      <w:pPr>
        <w:rPr>
          <w:rFonts w:eastAsia="Times New Roman" w:cs="Courier New"/>
          <w:b/>
          <w:color w:val="000000"/>
        </w:rPr>
      </w:pPr>
    </w:p>
    <w:p w:rsidR="00057947" w:rsidRPr="0026476E" w:rsidRDefault="00057947">
      <w:pPr>
        <w:rPr>
          <w:rFonts w:eastAsia="Times New Roman" w:cs="Courier New"/>
          <w:b/>
          <w:color w:val="000000"/>
        </w:rPr>
      </w:pPr>
      <w:r w:rsidRPr="0026476E">
        <w:rPr>
          <w:rFonts w:eastAsia="Times New Roman" w:cs="Courier New"/>
          <w:b/>
          <w:color w:val="000000"/>
        </w:rPr>
        <w:t xml:space="preserve">Sec. 51.3062.  SUCCESS INITIATIVE.  </w:t>
      </w:r>
    </w:p>
    <w:p w:rsidR="005F017B" w:rsidRPr="0026476E" w:rsidRDefault="005F017B" w:rsidP="005F017B">
      <w:pPr>
        <w:autoSpaceDE w:val="0"/>
        <w:autoSpaceDN w:val="0"/>
        <w:adjustRightInd w:val="0"/>
        <w:spacing w:after="0" w:line="240" w:lineRule="auto"/>
        <w:ind w:left="360"/>
        <w:rPr>
          <w:rFonts w:cs="Courier"/>
          <w:b/>
          <w:i/>
          <w:color w:val="000000"/>
        </w:rPr>
      </w:pPr>
      <w:r w:rsidRPr="0026476E">
        <w:rPr>
          <w:rFonts w:cs="Courier"/>
          <w:b/>
          <w:i/>
          <w:color w:val="000000"/>
        </w:rPr>
        <w:t>(a) Section 51.3062, Education Code, is amended by adding Subsection (q-2) to read as follows:</w:t>
      </w:r>
    </w:p>
    <w:p w:rsidR="005F017B" w:rsidRPr="0026476E" w:rsidRDefault="005F017B" w:rsidP="006A0058">
      <w:pPr>
        <w:pStyle w:val="NoSpacing"/>
      </w:pPr>
    </w:p>
    <w:p w:rsidR="00057947" w:rsidRPr="0026476E" w:rsidRDefault="00057947" w:rsidP="005F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720"/>
        <w:rPr>
          <w:rFonts w:eastAsia="Times New Roman" w:cs="Courier New"/>
          <w:color w:val="000000"/>
        </w:rPr>
      </w:pPr>
      <w:r w:rsidRPr="0026476E">
        <w:rPr>
          <w:rFonts w:eastAsia="Times New Roman" w:cs="Courier New"/>
          <w:color w:val="000000"/>
        </w:rPr>
        <w:t>(q-2)  A student who successfully completes a college preparatory course under Section 28.014 is exempt from the requirements of this section with respect to the content area of the course.  The commissioner of higher education by rule shall establish the period for which an exemption under this subsection is valid.  The exemption applies only at the institution of higher education that partners with the school district in which the student is enrolled to provide the course, except that the commissioner by rule may determine the manner in which the exemption may be applied to institutions of higher education other than the partnering institution.</w:t>
      </w:r>
    </w:p>
    <w:p w:rsidR="005F017B" w:rsidRPr="0026476E" w:rsidRDefault="005F017B" w:rsidP="006A0058">
      <w:pPr>
        <w:pStyle w:val="NoSpacing"/>
      </w:pPr>
    </w:p>
    <w:p w:rsidR="005F017B" w:rsidRPr="0026476E" w:rsidRDefault="005F017B" w:rsidP="005F017B">
      <w:pPr>
        <w:autoSpaceDE w:val="0"/>
        <w:autoSpaceDN w:val="0"/>
        <w:adjustRightInd w:val="0"/>
        <w:spacing w:after="0" w:line="240" w:lineRule="auto"/>
        <w:ind w:left="360"/>
        <w:rPr>
          <w:rFonts w:cs="Courier"/>
          <w:b/>
          <w:i/>
          <w:color w:val="000000"/>
        </w:rPr>
      </w:pPr>
      <w:r w:rsidRPr="0026476E">
        <w:rPr>
          <w:rFonts w:cs="Courier"/>
          <w:b/>
          <w:i/>
          <w:color w:val="000000"/>
        </w:rPr>
        <w:t>(b)This section applies beginning with the 2013-2014 school year.</w:t>
      </w:r>
    </w:p>
    <w:p w:rsidR="00057947" w:rsidRPr="004050F4" w:rsidRDefault="005F017B" w:rsidP="005F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eastAsia="Times New Roman" w:cs="Courier New"/>
          <w:color w:val="000000"/>
          <w:sz w:val="18"/>
          <w:szCs w:val="18"/>
        </w:rPr>
      </w:pPr>
      <w:r w:rsidRPr="0026476E">
        <w:rPr>
          <w:rFonts w:eastAsia="Times New Roman" w:cs="Courier New"/>
          <w:color w:val="000000"/>
        </w:rPr>
        <w:tab/>
      </w:r>
      <w:r w:rsidR="004050F4" w:rsidRPr="002263AC">
        <w:rPr>
          <w:rFonts w:eastAsia="Times New Roman" w:cs="Courier New"/>
          <w:color w:val="000000"/>
          <w:sz w:val="18"/>
          <w:szCs w:val="18"/>
        </w:rPr>
        <w:t xml:space="preserve">Added by </w:t>
      </w:r>
      <w:r w:rsidR="00057947" w:rsidRPr="004050F4">
        <w:rPr>
          <w:rFonts w:eastAsia="Times New Roman" w:cs="Courier New"/>
          <w:color w:val="000000"/>
          <w:sz w:val="18"/>
          <w:szCs w:val="18"/>
        </w:rPr>
        <w:t xml:space="preserve">Acts 2013, 83rd Leg., R.S., Ch. 211 (H.B. </w:t>
      </w:r>
      <w:hyperlink r:id="rId11" w:tgtFrame="new" w:history="1">
        <w:r w:rsidR="00057947" w:rsidRPr="004050F4">
          <w:rPr>
            <w:rFonts w:eastAsia="Times New Roman" w:cs="Courier New"/>
            <w:color w:val="0000FF"/>
            <w:sz w:val="18"/>
            <w:szCs w:val="18"/>
          </w:rPr>
          <w:t>5</w:t>
        </w:r>
      </w:hyperlink>
      <w:r w:rsidR="00057947" w:rsidRPr="004050F4">
        <w:rPr>
          <w:rFonts w:eastAsia="Times New Roman" w:cs="Courier New"/>
          <w:color w:val="000000"/>
          <w:sz w:val="18"/>
          <w:szCs w:val="18"/>
        </w:rPr>
        <w:t>), Sec. 63(a), eff. June 10, 2013.</w:t>
      </w:r>
    </w:p>
    <w:sectPr w:rsidR="00057947" w:rsidRPr="004050F4" w:rsidSect="001C1797">
      <w:footerReference w:type="default" r:id="rId12"/>
      <w:pgSz w:w="12240" w:h="15840" w:code="1"/>
      <w:pgMar w:top="720" w:right="1080" w:bottom="72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563" w:rsidRDefault="00670563" w:rsidP="002263AC">
      <w:pPr>
        <w:spacing w:after="0" w:line="240" w:lineRule="auto"/>
      </w:pPr>
      <w:r>
        <w:separator/>
      </w:r>
    </w:p>
  </w:endnote>
  <w:endnote w:type="continuationSeparator" w:id="0">
    <w:p w:rsidR="00670563" w:rsidRDefault="00670563" w:rsidP="0022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95526510"/>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5F017B" w:rsidRPr="005F017B" w:rsidRDefault="005F017B">
            <w:pPr>
              <w:pStyle w:val="Footer"/>
              <w:jc w:val="right"/>
              <w:rPr>
                <w:sz w:val="20"/>
                <w:szCs w:val="20"/>
              </w:rPr>
            </w:pPr>
            <w:r w:rsidRPr="005F017B">
              <w:rPr>
                <w:sz w:val="20"/>
                <w:szCs w:val="20"/>
              </w:rPr>
              <w:t xml:space="preserve">Provided by: Education Service Center Region 11 </w:t>
            </w:r>
            <w:r w:rsidRPr="005F017B">
              <w:rPr>
                <w:sz w:val="20"/>
                <w:szCs w:val="20"/>
              </w:rPr>
              <w:sym w:font="Wingdings" w:char="F09F"/>
            </w:r>
            <w:r w:rsidR="001C1797">
              <w:rPr>
                <w:sz w:val="20"/>
                <w:szCs w:val="20"/>
              </w:rPr>
              <w:t xml:space="preserve"> </w:t>
            </w:r>
            <w:hyperlink r:id="rId1" w:history="1">
              <w:r w:rsidRPr="005F017B">
                <w:rPr>
                  <w:rStyle w:val="Hyperlink"/>
                  <w:sz w:val="20"/>
                  <w:szCs w:val="20"/>
                </w:rPr>
                <w:t>www.esc11.net</w:t>
              </w:r>
            </w:hyperlink>
            <w:r w:rsidRPr="005F017B">
              <w:rPr>
                <w:sz w:val="20"/>
                <w:szCs w:val="20"/>
              </w:rPr>
              <w:t xml:space="preserve">           </w:t>
            </w:r>
            <w:r w:rsidR="001C1797">
              <w:rPr>
                <w:sz w:val="20"/>
                <w:szCs w:val="20"/>
              </w:rPr>
              <w:t xml:space="preserve">                                                               </w:t>
            </w:r>
            <w:r w:rsidRPr="005F017B">
              <w:rPr>
                <w:sz w:val="20"/>
                <w:szCs w:val="20"/>
              </w:rPr>
              <w:t xml:space="preserve"> Page </w:t>
            </w:r>
            <w:r w:rsidRPr="005F017B">
              <w:rPr>
                <w:b/>
                <w:bCs/>
                <w:sz w:val="20"/>
                <w:szCs w:val="20"/>
              </w:rPr>
              <w:fldChar w:fldCharType="begin"/>
            </w:r>
            <w:r w:rsidRPr="005F017B">
              <w:rPr>
                <w:b/>
                <w:bCs/>
                <w:sz w:val="20"/>
                <w:szCs w:val="20"/>
              </w:rPr>
              <w:instrText xml:space="preserve"> PAGE </w:instrText>
            </w:r>
            <w:r w:rsidRPr="005F017B">
              <w:rPr>
                <w:b/>
                <w:bCs/>
                <w:sz w:val="20"/>
                <w:szCs w:val="20"/>
              </w:rPr>
              <w:fldChar w:fldCharType="separate"/>
            </w:r>
            <w:r w:rsidR="008E2858">
              <w:rPr>
                <w:b/>
                <w:bCs/>
                <w:noProof/>
                <w:sz w:val="20"/>
                <w:szCs w:val="20"/>
              </w:rPr>
              <w:t>1</w:t>
            </w:r>
            <w:r w:rsidRPr="005F017B">
              <w:rPr>
                <w:b/>
                <w:bCs/>
                <w:sz w:val="20"/>
                <w:szCs w:val="20"/>
              </w:rPr>
              <w:fldChar w:fldCharType="end"/>
            </w:r>
            <w:r w:rsidRPr="005F017B">
              <w:rPr>
                <w:sz w:val="20"/>
                <w:szCs w:val="20"/>
              </w:rPr>
              <w:t xml:space="preserve"> of </w:t>
            </w:r>
            <w:r w:rsidRPr="005F017B">
              <w:rPr>
                <w:b/>
                <w:bCs/>
                <w:sz w:val="20"/>
                <w:szCs w:val="20"/>
              </w:rPr>
              <w:fldChar w:fldCharType="begin"/>
            </w:r>
            <w:r w:rsidRPr="005F017B">
              <w:rPr>
                <w:b/>
                <w:bCs/>
                <w:sz w:val="20"/>
                <w:szCs w:val="20"/>
              </w:rPr>
              <w:instrText xml:space="preserve"> NUMPAGES  </w:instrText>
            </w:r>
            <w:r w:rsidRPr="005F017B">
              <w:rPr>
                <w:b/>
                <w:bCs/>
                <w:sz w:val="20"/>
                <w:szCs w:val="20"/>
              </w:rPr>
              <w:fldChar w:fldCharType="separate"/>
            </w:r>
            <w:r w:rsidR="008E2858">
              <w:rPr>
                <w:b/>
                <w:bCs/>
                <w:noProof/>
                <w:sz w:val="20"/>
                <w:szCs w:val="20"/>
              </w:rPr>
              <w:t>2</w:t>
            </w:r>
            <w:r w:rsidRPr="005F017B">
              <w:rPr>
                <w:b/>
                <w:bCs/>
                <w:sz w:val="20"/>
                <w:szCs w:val="20"/>
              </w:rPr>
              <w:fldChar w:fldCharType="end"/>
            </w:r>
          </w:p>
        </w:sdtContent>
      </w:sdt>
    </w:sdtContent>
  </w:sdt>
  <w:p w:rsidR="005F017B" w:rsidRDefault="005F0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563" w:rsidRDefault="00670563" w:rsidP="002263AC">
      <w:pPr>
        <w:spacing w:after="0" w:line="240" w:lineRule="auto"/>
      </w:pPr>
      <w:r>
        <w:separator/>
      </w:r>
    </w:p>
  </w:footnote>
  <w:footnote w:type="continuationSeparator" w:id="0">
    <w:p w:rsidR="00670563" w:rsidRDefault="00670563" w:rsidP="002263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20D38"/>
    <w:multiLevelType w:val="hybridMultilevel"/>
    <w:tmpl w:val="378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AC"/>
    <w:rsid w:val="00057947"/>
    <w:rsid w:val="001C1797"/>
    <w:rsid w:val="002263AC"/>
    <w:rsid w:val="0026476E"/>
    <w:rsid w:val="004050F4"/>
    <w:rsid w:val="004708DD"/>
    <w:rsid w:val="005F017B"/>
    <w:rsid w:val="00670563"/>
    <w:rsid w:val="006A0058"/>
    <w:rsid w:val="00751CE6"/>
    <w:rsid w:val="007B31AC"/>
    <w:rsid w:val="0087401E"/>
    <w:rsid w:val="008E2858"/>
    <w:rsid w:val="00943242"/>
    <w:rsid w:val="00994063"/>
    <w:rsid w:val="009C420B"/>
    <w:rsid w:val="009F7290"/>
    <w:rsid w:val="00A5296B"/>
    <w:rsid w:val="00AA2DB5"/>
    <w:rsid w:val="00B4205D"/>
    <w:rsid w:val="00BB200B"/>
    <w:rsid w:val="00C32F11"/>
    <w:rsid w:val="00C3767B"/>
    <w:rsid w:val="00E03CC0"/>
    <w:rsid w:val="00ED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3AC"/>
    <w:rPr>
      <w:strike w:val="0"/>
      <w:dstrike w:val="0"/>
      <w:color w:val="0000FF"/>
      <w:u w:val="none"/>
      <w:effect w:val="none"/>
    </w:rPr>
  </w:style>
  <w:style w:type="paragraph" w:customStyle="1" w:styleId="left">
    <w:name w:val="left"/>
    <w:basedOn w:val="Normal"/>
    <w:rsid w:val="002263AC"/>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22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63AC"/>
    <w:rPr>
      <w:rFonts w:ascii="Courier New" w:eastAsia="Times New Roman" w:hAnsi="Courier New" w:cs="Courier New"/>
      <w:sz w:val="20"/>
      <w:szCs w:val="20"/>
    </w:rPr>
  </w:style>
  <w:style w:type="paragraph" w:styleId="Header">
    <w:name w:val="header"/>
    <w:basedOn w:val="Normal"/>
    <w:link w:val="HeaderChar"/>
    <w:uiPriority w:val="99"/>
    <w:unhideWhenUsed/>
    <w:rsid w:val="00226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AC"/>
  </w:style>
  <w:style w:type="paragraph" w:styleId="Footer">
    <w:name w:val="footer"/>
    <w:basedOn w:val="Normal"/>
    <w:link w:val="FooterChar"/>
    <w:uiPriority w:val="99"/>
    <w:unhideWhenUsed/>
    <w:rsid w:val="00226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3AC"/>
  </w:style>
  <w:style w:type="paragraph" w:customStyle="1" w:styleId="center">
    <w:name w:val="center"/>
    <w:basedOn w:val="Normal"/>
    <w:rsid w:val="002263AC"/>
    <w:pPr>
      <w:spacing w:after="0" w:line="360" w:lineRule="atLeast"/>
      <w:jc w:val="center"/>
    </w:pPr>
    <w:rPr>
      <w:rFonts w:ascii="Courier New" w:eastAsia="Times New Roman" w:hAnsi="Courier New" w:cs="Courier New"/>
      <w:sz w:val="24"/>
      <w:szCs w:val="24"/>
    </w:rPr>
  </w:style>
  <w:style w:type="paragraph" w:styleId="ListParagraph">
    <w:name w:val="List Paragraph"/>
    <w:basedOn w:val="Normal"/>
    <w:uiPriority w:val="34"/>
    <w:qFormat/>
    <w:rsid w:val="00ED773A"/>
    <w:pPr>
      <w:ind w:left="720"/>
      <w:contextualSpacing/>
    </w:pPr>
  </w:style>
  <w:style w:type="paragraph" w:styleId="NoSpacing">
    <w:name w:val="No Spacing"/>
    <w:uiPriority w:val="1"/>
    <w:qFormat/>
    <w:rsid w:val="006A0058"/>
    <w:pPr>
      <w:spacing w:after="0" w:line="240" w:lineRule="auto"/>
    </w:pPr>
  </w:style>
  <w:style w:type="paragraph" w:styleId="BalloonText">
    <w:name w:val="Balloon Text"/>
    <w:basedOn w:val="Normal"/>
    <w:link w:val="BalloonTextChar"/>
    <w:uiPriority w:val="99"/>
    <w:semiHidden/>
    <w:unhideWhenUsed/>
    <w:rsid w:val="0026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3AC"/>
    <w:rPr>
      <w:strike w:val="0"/>
      <w:dstrike w:val="0"/>
      <w:color w:val="0000FF"/>
      <w:u w:val="none"/>
      <w:effect w:val="none"/>
    </w:rPr>
  </w:style>
  <w:style w:type="paragraph" w:customStyle="1" w:styleId="left">
    <w:name w:val="left"/>
    <w:basedOn w:val="Normal"/>
    <w:rsid w:val="002263AC"/>
    <w:pPr>
      <w:spacing w:after="0" w:line="360" w:lineRule="atLeast"/>
    </w:pPr>
    <w:rPr>
      <w:rFonts w:ascii="Courier New" w:eastAsia="Times New Roman" w:hAnsi="Courier New" w:cs="Courier New"/>
      <w:sz w:val="24"/>
      <w:szCs w:val="24"/>
    </w:rPr>
  </w:style>
  <w:style w:type="paragraph" w:styleId="HTMLPreformatted">
    <w:name w:val="HTML Preformatted"/>
    <w:basedOn w:val="Normal"/>
    <w:link w:val="HTMLPreformattedChar"/>
    <w:uiPriority w:val="99"/>
    <w:semiHidden/>
    <w:unhideWhenUsed/>
    <w:rsid w:val="0022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63AC"/>
    <w:rPr>
      <w:rFonts w:ascii="Courier New" w:eastAsia="Times New Roman" w:hAnsi="Courier New" w:cs="Courier New"/>
      <w:sz w:val="20"/>
      <w:szCs w:val="20"/>
    </w:rPr>
  </w:style>
  <w:style w:type="paragraph" w:styleId="Header">
    <w:name w:val="header"/>
    <w:basedOn w:val="Normal"/>
    <w:link w:val="HeaderChar"/>
    <w:uiPriority w:val="99"/>
    <w:unhideWhenUsed/>
    <w:rsid w:val="00226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AC"/>
  </w:style>
  <w:style w:type="paragraph" w:styleId="Footer">
    <w:name w:val="footer"/>
    <w:basedOn w:val="Normal"/>
    <w:link w:val="FooterChar"/>
    <w:uiPriority w:val="99"/>
    <w:unhideWhenUsed/>
    <w:rsid w:val="00226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3AC"/>
  </w:style>
  <w:style w:type="paragraph" w:customStyle="1" w:styleId="center">
    <w:name w:val="center"/>
    <w:basedOn w:val="Normal"/>
    <w:rsid w:val="002263AC"/>
    <w:pPr>
      <w:spacing w:after="0" w:line="360" w:lineRule="atLeast"/>
      <w:jc w:val="center"/>
    </w:pPr>
    <w:rPr>
      <w:rFonts w:ascii="Courier New" w:eastAsia="Times New Roman" w:hAnsi="Courier New" w:cs="Courier New"/>
      <w:sz w:val="24"/>
      <w:szCs w:val="24"/>
    </w:rPr>
  </w:style>
  <w:style w:type="paragraph" w:styleId="ListParagraph">
    <w:name w:val="List Paragraph"/>
    <w:basedOn w:val="Normal"/>
    <w:uiPriority w:val="34"/>
    <w:qFormat/>
    <w:rsid w:val="00ED773A"/>
    <w:pPr>
      <w:ind w:left="720"/>
      <w:contextualSpacing/>
    </w:pPr>
  </w:style>
  <w:style w:type="paragraph" w:styleId="NoSpacing">
    <w:name w:val="No Spacing"/>
    <w:uiPriority w:val="1"/>
    <w:qFormat/>
    <w:rsid w:val="006A0058"/>
    <w:pPr>
      <w:spacing w:after="0" w:line="240" w:lineRule="auto"/>
    </w:pPr>
  </w:style>
  <w:style w:type="paragraph" w:styleId="BalloonText">
    <w:name w:val="Balloon Text"/>
    <w:basedOn w:val="Normal"/>
    <w:link w:val="BalloonTextChar"/>
    <w:uiPriority w:val="99"/>
    <w:semiHidden/>
    <w:unhideWhenUsed/>
    <w:rsid w:val="00264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727492">
      <w:bodyDiv w:val="1"/>
      <w:marLeft w:val="0"/>
      <w:marRight w:val="0"/>
      <w:marTop w:val="0"/>
      <w:marBottom w:val="0"/>
      <w:divBdr>
        <w:top w:val="none" w:sz="0" w:space="0" w:color="auto"/>
        <w:left w:val="none" w:sz="0" w:space="0" w:color="auto"/>
        <w:bottom w:val="none" w:sz="0" w:space="0" w:color="auto"/>
        <w:right w:val="none" w:sz="0" w:space="0" w:color="auto"/>
      </w:divBdr>
    </w:div>
    <w:div w:id="17017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tx.us/tlodocs/80R/billtext/html/HB02237F.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state.tx.us/tlodocs/83R/billtext/html/HB00005F.HTM" TargetMode="External"/><Relationship Id="rId5" Type="http://schemas.openxmlformats.org/officeDocument/2006/relationships/webSettings" Target="webSettings.xml"/><Relationship Id="rId10" Type="http://schemas.openxmlformats.org/officeDocument/2006/relationships/hyperlink" Target="http://www.legis.state.tx.us/tlodocs/83R/billtext/html/HB00005F.HTM" TargetMode="External"/><Relationship Id="rId4" Type="http://schemas.openxmlformats.org/officeDocument/2006/relationships/settings" Target="settings.xml"/><Relationship Id="rId9" Type="http://schemas.openxmlformats.org/officeDocument/2006/relationships/hyperlink" Target="http://www.legis.state.tx.us/tlodocs/81R/billtext/html/HB00003F.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sc11.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Harville</dc:creator>
  <cp:lastModifiedBy>Mougey, Amy</cp:lastModifiedBy>
  <cp:revision>2</cp:revision>
  <cp:lastPrinted>2014-05-02T16:39:00Z</cp:lastPrinted>
  <dcterms:created xsi:type="dcterms:W3CDTF">2014-07-08T17:29:00Z</dcterms:created>
  <dcterms:modified xsi:type="dcterms:W3CDTF">2014-07-08T17:29:00Z</dcterms:modified>
</cp:coreProperties>
</file>